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045"/>
        </w:tabs>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tabs>
          <w:tab w:val="left" w:pos="3045"/>
        </w:tabs>
        <w:jc w:val="center"/>
        <w:rPr>
          <w:rFonts w:hint="eastAsia" w:ascii="宋体" w:hAnsi="宋体"/>
          <w:b/>
          <w:sz w:val="32"/>
          <w:szCs w:val="32"/>
        </w:rPr>
      </w:pPr>
    </w:p>
    <w:p>
      <w:pPr>
        <w:tabs>
          <w:tab w:val="left" w:pos="3045"/>
        </w:tabs>
        <w:jc w:val="center"/>
        <w:rPr>
          <w:rFonts w:hint="eastAsia" w:ascii="宋体" w:hAnsi="宋体"/>
          <w:b/>
          <w:sz w:val="44"/>
          <w:szCs w:val="44"/>
        </w:rPr>
      </w:pPr>
      <w:r>
        <w:rPr>
          <w:rFonts w:hint="eastAsia" w:ascii="宋体" w:hAnsi="宋体"/>
          <w:b/>
          <w:sz w:val="44"/>
          <w:szCs w:val="44"/>
        </w:rPr>
        <w:t>西藏自治区2018年政府集中采购目录</w:t>
      </w:r>
    </w:p>
    <w:p>
      <w:pPr>
        <w:tabs>
          <w:tab w:val="left" w:pos="3045"/>
        </w:tabs>
        <w:jc w:val="center"/>
        <w:rPr>
          <w:rFonts w:hint="eastAsia" w:ascii="宋体" w:hAnsi="宋体"/>
          <w:b/>
          <w:sz w:val="44"/>
          <w:szCs w:val="44"/>
        </w:rPr>
      </w:pPr>
      <w:r>
        <w:rPr>
          <w:rFonts w:hint="eastAsia" w:ascii="宋体" w:hAnsi="宋体"/>
          <w:b/>
          <w:sz w:val="44"/>
          <w:szCs w:val="44"/>
        </w:rPr>
        <w:t>及采购限额标准</w:t>
      </w:r>
    </w:p>
    <w:p>
      <w:pPr>
        <w:rPr>
          <w:rFonts w:ascii="仿宋" w:hAnsi="仿宋" w:eastAsia="仿宋"/>
          <w:b/>
          <w:sz w:val="32"/>
          <w:szCs w:val="32"/>
        </w:rPr>
      </w:pPr>
      <w:r>
        <w:rPr>
          <w:rFonts w:hint="eastAsia" w:ascii="仿宋" w:hAnsi="仿宋" w:eastAsia="仿宋"/>
          <w:b/>
          <w:sz w:val="32"/>
          <w:szCs w:val="32"/>
        </w:rPr>
        <w:t>一、集中采购目录</w:t>
      </w:r>
      <w:bookmarkStart w:id="0" w:name="_GoBack"/>
      <w:bookmarkEnd w:id="0"/>
    </w:p>
    <w:tbl>
      <w:tblPr>
        <w:tblW w:w="83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4"/>
        <w:gridCol w:w="2339"/>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jc w:val="center"/>
        </w:trPr>
        <w:tc>
          <w:tcPr>
            <w:tcW w:w="15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品目编号</w:t>
            </w:r>
          </w:p>
        </w:tc>
        <w:tc>
          <w:tcPr>
            <w:tcW w:w="23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品目名称</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jc w:val="center"/>
        </w:trPr>
        <w:tc>
          <w:tcPr>
            <w:tcW w:w="15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kern w:val="0"/>
              </w:rPr>
            </w:pPr>
            <w:r>
              <w:rPr>
                <w:rFonts w:ascii="楷体" w:hAnsi="楷体" w:eastAsia="楷体" w:cs="楷体"/>
                <w:b/>
                <w:bCs/>
                <w:kern w:val="0"/>
              </w:rPr>
              <w:t>A</w:t>
            </w:r>
          </w:p>
        </w:tc>
        <w:tc>
          <w:tcPr>
            <w:tcW w:w="23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kern w:val="0"/>
              </w:rPr>
            </w:pPr>
            <w:r>
              <w:rPr>
                <w:rFonts w:hint="eastAsia" w:ascii="楷体" w:hAnsi="楷体" w:eastAsia="楷体" w:cs="楷体"/>
                <w:b/>
                <w:bCs/>
                <w:kern w:val="0"/>
              </w:rPr>
              <w:t>货物类</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cs="楷体"/>
                <w:kern w:val="0"/>
              </w:rPr>
            </w:pPr>
            <w:r>
              <w:rPr>
                <w:rFonts w:ascii="楷体" w:hAnsi="楷体" w:eastAsia="楷体" w:cs="楷体"/>
                <w:kern w:val="0"/>
              </w:rPr>
              <w:t>A02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通用设备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cs="楷体"/>
                <w:kern w:val="0"/>
              </w:rPr>
            </w:pPr>
            <w:r>
              <w:rPr>
                <w:rFonts w:ascii="楷体" w:hAnsi="楷体" w:eastAsia="楷体" w:cs="楷体"/>
                <w:kern w:val="0"/>
              </w:rPr>
              <w:t>A0201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计算机设备及软件</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A02010103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服务器</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A02010104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台式计算机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包含正版操作系统及办公软件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A02010105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便携式计算机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包含正版操作系统及办公软件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A02010201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路由器</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A0201020201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以太网交换机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A0201020299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其他交换设备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防火墙</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入侵检测设备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入侵防御设备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漏洞扫描设备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容灾备份设备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A02010306</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网络隔离设备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A02010307</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安全审计设备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A02010308</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安全路由器</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A02010309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计算机终端安全设备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加密狗、</w:t>
            </w:r>
            <w:r>
              <w:rPr>
                <w:rFonts w:ascii="楷体" w:hAnsi="楷体" w:eastAsia="楷体" w:cs="楷体"/>
                <w:kern w:val="0"/>
              </w:rPr>
              <w:t>U</w:t>
            </w:r>
            <w:r>
              <w:rPr>
                <w:rFonts w:hint="eastAsia" w:ascii="楷体" w:hAnsi="楷体" w:eastAsia="楷体" w:cs="楷体"/>
                <w:kern w:val="0"/>
              </w:rPr>
              <w:t>盾等入此。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A02010310</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网闸</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A02010311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网上行为管理设备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A02010312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密码设备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A02010313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虚拟专用网（</w:t>
            </w:r>
            <w:r>
              <w:rPr>
                <w:rFonts w:ascii="楷体" w:hAnsi="楷体" w:eastAsia="楷体" w:cs="楷体"/>
                <w:kern w:val="0"/>
              </w:rPr>
              <w:t>VPN</w:t>
            </w:r>
            <w:r>
              <w:rPr>
                <w:rFonts w:hint="eastAsia" w:ascii="楷体" w:hAnsi="楷体" w:eastAsia="楷体" w:cs="楷体"/>
                <w:kern w:val="0"/>
              </w:rPr>
              <w:t>）设备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A02010399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其他安全设备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A02010507</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网络存储设备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ascii="楷体" w:hAnsi="楷体" w:eastAsia="楷体" w:cs="楷体"/>
                <w:kern w:val="0"/>
              </w:rPr>
              <w:t>NAS</w:t>
            </w:r>
            <w:r>
              <w:rPr>
                <w:rFonts w:hint="eastAsia" w:ascii="楷体" w:hAnsi="楷体" w:eastAsia="楷体" w:cs="楷体"/>
                <w:kern w:val="0"/>
              </w:rPr>
              <w:t>设备入此。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A0201060101</w:t>
            </w:r>
          </w:p>
        </w:tc>
        <w:tc>
          <w:tcPr>
            <w:tcW w:w="233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喷墨打印机</w:t>
            </w:r>
          </w:p>
        </w:tc>
        <w:tc>
          <w:tcPr>
            <w:tcW w:w="453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A0201060102</w:t>
            </w:r>
          </w:p>
        </w:tc>
        <w:tc>
          <w:tcPr>
            <w:tcW w:w="2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激光打印机</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A0201060103</w:t>
            </w:r>
          </w:p>
        </w:tc>
        <w:tc>
          <w:tcPr>
            <w:tcW w:w="233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热式打印机</w:t>
            </w:r>
          </w:p>
        </w:tc>
        <w:tc>
          <w:tcPr>
            <w:tcW w:w="453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包括热传式、热敏式打印机。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A0201060104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针式打印机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A0201060199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其他打印设备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A0201060901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扫描仪</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A0201080101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操作系统</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指单独采购的操作系统，系统集成、网络工程、软件开发等项目采购的操作系统除外。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A0201080102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数据库管理系统</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指单独采购的数据库管理系统，系统集成、网络工程、软件开发等项目采购的数据库管理系统除外。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A0201080103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中间件</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指单独采购的中间件，系统集成、网络工程、软件开发等项目采购的中间件除外。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A0201080104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办公套件</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A0201080199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其他基础软件</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A0201080301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通用应用软件</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包括管理软件、信息检索和翻译软件、多媒体软件、网络通讯软件、数字出版软件、地理信息系统软件、科学和工程计算软件、其他通用应用软件。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A02010805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信息安全软件</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包括基础和平台类安全软件、数据安全软件、网络与边界安全软件、专用安全软件、安全检测评估软件、安全应用软件、安全支撑软件、安全管理软件、其他信息安全软件。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cs="楷体"/>
                <w:kern w:val="0"/>
              </w:rPr>
            </w:pPr>
            <w:r>
              <w:rPr>
                <w:rFonts w:ascii="楷体" w:hAnsi="楷体" w:eastAsia="楷体" w:cs="楷体"/>
                <w:kern w:val="0"/>
              </w:rPr>
              <w:t>A0202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办公设备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复印机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投影仪</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用于测量测绘等专用投影仪除外。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多功能一体机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具有多种办公功能的设备入此，例如带打印功能的复印机等。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照相机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数字照相机、通用照相机和专用照相机等。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A020207</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ascii="楷体" w:hAnsi="楷体" w:eastAsia="楷体" w:cs="楷体"/>
                <w:kern w:val="0"/>
              </w:rPr>
              <w:t>LED</w:t>
            </w:r>
            <w:r>
              <w:rPr>
                <w:rFonts w:hint="eastAsia" w:ascii="楷体" w:hAnsi="楷体" w:eastAsia="楷体" w:cs="楷体"/>
                <w:kern w:val="0"/>
              </w:rPr>
              <w:t>显示屏</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A020208</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触控一体机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包换室内型、户外型触摸屏等。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A020210</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文印设备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A020211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销毁设备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车辆</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A02030501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轿车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A02030502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越野车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A02030503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商务车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A02030599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其他乘用车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A02030601</w:t>
            </w:r>
          </w:p>
        </w:tc>
        <w:tc>
          <w:tcPr>
            <w:tcW w:w="233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小型客车</w:t>
            </w:r>
          </w:p>
        </w:tc>
        <w:tc>
          <w:tcPr>
            <w:tcW w:w="453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除驾驶员外，座位数超过</w:t>
            </w:r>
            <w:r>
              <w:rPr>
                <w:rFonts w:ascii="楷体" w:hAnsi="楷体" w:eastAsia="楷体" w:cs="楷体"/>
                <w:kern w:val="0"/>
              </w:rPr>
              <w:t>9</w:t>
            </w:r>
            <w:r>
              <w:rPr>
                <w:rFonts w:hint="eastAsia" w:ascii="楷体" w:hAnsi="楷体" w:eastAsia="楷体" w:cs="楷体"/>
                <w:kern w:val="0"/>
              </w:rPr>
              <w:t>座，但不超过（含）</w:t>
            </w:r>
            <w:r>
              <w:rPr>
                <w:rFonts w:ascii="楷体" w:hAnsi="楷体" w:eastAsia="楷体" w:cs="楷体"/>
                <w:kern w:val="0"/>
              </w:rPr>
              <w:t>16</w:t>
            </w:r>
            <w:r>
              <w:rPr>
                <w:rFonts w:hint="eastAsia" w:ascii="楷体" w:hAnsi="楷体" w:eastAsia="楷体" w:cs="楷体"/>
                <w:kern w:val="0"/>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A02030602</w:t>
            </w:r>
          </w:p>
        </w:tc>
        <w:tc>
          <w:tcPr>
            <w:tcW w:w="2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大中型客车</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除驾驶员座位外，座位数超过（含）</w:t>
            </w:r>
            <w:r>
              <w:rPr>
                <w:rFonts w:ascii="楷体" w:hAnsi="楷体" w:eastAsia="楷体" w:cs="楷体"/>
                <w:kern w:val="0"/>
              </w:rPr>
              <w:t>16</w:t>
            </w:r>
            <w:r>
              <w:rPr>
                <w:rFonts w:hint="eastAsia" w:ascii="楷体" w:hAnsi="楷体" w:eastAsia="楷体" w:cs="楷体"/>
                <w:kern w:val="0"/>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A02030699</w:t>
            </w:r>
          </w:p>
        </w:tc>
        <w:tc>
          <w:tcPr>
            <w:tcW w:w="233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其他客车</w:t>
            </w:r>
          </w:p>
        </w:tc>
        <w:tc>
          <w:tcPr>
            <w:tcW w:w="453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A02030727</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机动起重车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指汽车起重机。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A0203072801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垃圾车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A0203072802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洒水车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A0203072803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街道清洗清扫车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A0203072804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除冰车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A0203072805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扫雪车</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A0203072899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其他清洁卫生车辆</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图书档案设备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A02040101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固定架、密集架</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A0208</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通信设备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A02080801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视频会议控制台</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A02080802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视频会议多点控制器</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A02080803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视频会议室终端</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A02080804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音视频矩阵</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A02080899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其他视频会议系统设备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A02081001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传真通信设备</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包括文件（图文）传真机、报纸传真机、信函传真机、气象图传真机、卫星运土传真机、雷达图像传真机、相片传真机、</w:t>
            </w:r>
            <w:r>
              <w:rPr>
                <w:rFonts w:ascii="楷体" w:hAnsi="楷体" w:eastAsia="楷体" w:cs="楷体"/>
                <w:kern w:val="0"/>
              </w:rPr>
              <w:t>PC-FAX</w:t>
            </w:r>
            <w:r>
              <w:rPr>
                <w:rFonts w:hint="eastAsia" w:ascii="楷体" w:hAnsi="楷体" w:eastAsia="楷体" w:cs="楷体"/>
                <w:kern w:val="0"/>
              </w:rPr>
              <w:t>图像传真通信设备、</w:t>
            </w:r>
            <w:r>
              <w:rPr>
                <w:rFonts w:ascii="楷体" w:hAnsi="楷体" w:eastAsia="楷体" w:cs="楷体"/>
                <w:kern w:val="0"/>
              </w:rPr>
              <w:t>IP</w:t>
            </w:r>
            <w:r>
              <w:rPr>
                <w:rFonts w:hint="eastAsia" w:ascii="楷体" w:hAnsi="楷体" w:eastAsia="楷体" w:cs="楷体"/>
                <w:kern w:val="0"/>
              </w:rPr>
              <w:t>传真机等。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A02091001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普通电视设备（电视机）</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包括有线电视前端设备、有线电视终端设备、有线电视传输覆盖设备等。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家具用具</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钢木床类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钢塑床类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轻金属床类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木制床类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塑料床类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A060106</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竹制床类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A060107</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藤床类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A060199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其他床类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钢木台、桌类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钢台、桌类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A060203</w:t>
            </w:r>
          </w:p>
        </w:tc>
        <w:tc>
          <w:tcPr>
            <w:tcW w:w="233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钢塑台、桌类</w:t>
            </w:r>
          </w:p>
        </w:tc>
        <w:tc>
          <w:tcPr>
            <w:tcW w:w="453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5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A060204</w:t>
            </w:r>
          </w:p>
        </w:tc>
        <w:tc>
          <w:tcPr>
            <w:tcW w:w="2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轻金属台、桌类</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A060205</w:t>
            </w:r>
          </w:p>
        </w:tc>
        <w:tc>
          <w:tcPr>
            <w:tcW w:w="233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木制台、桌类</w:t>
            </w:r>
          </w:p>
        </w:tc>
        <w:tc>
          <w:tcPr>
            <w:tcW w:w="453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A060206</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塑料台、桌类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A060207</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藤台、桌类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A060299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其他台、桌类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A060301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金属骨架为主的椅凳类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A060302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木骨架为主的椅凳类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包括各种木质材料为主制的坐具。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A060303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塑料椅凳类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A060304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竹制椅凳类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A060305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藤椅凳类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A060399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其他椅凳类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A060401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金属骨架沙发类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A060402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木骨架沙发类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包括各种木质材料为主制的坐具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A060403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竹制、藤制等类似材料沙发类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A060404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塑料沙发类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A060405</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竹制沙发类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A060406</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藤沙发类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A060499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其他沙发类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A060501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木质柜类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A060502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保险柜</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A060503</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金属质柜类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A060599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其他柜类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A060601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木质架类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A060602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金属质架类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A060699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其他材质架类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A060701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木质屏风类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A060702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金属质屏风类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A060799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其他材质屏风类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A09</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b/>
                <w:bCs/>
                <w:kern w:val="0"/>
              </w:rPr>
            </w:pPr>
            <w:r>
              <w:rPr>
                <w:rFonts w:hint="eastAsia" w:ascii="楷体" w:hAnsi="楷体" w:eastAsia="楷体" w:cs="楷体"/>
                <w:b/>
                <w:bCs/>
                <w:kern w:val="0"/>
              </w:rPr>
              <w:t>办公消耗用品及类似物品</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A090101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复印纸</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包括再生复印纸。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A090201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鼓粉盒</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包括再生鼓粉盒。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A090202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粉盒</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A090203</w:t>
            </w:r>
          </w:p>
        </w:tc>
        <w:tc>
          <w:tcPr>
            <w:tcW w:w="233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喷墨盒</w:t>
            </w:r>
          </w:p>
        </w:tc>
        <w:tc>
          <w:tcPr>
            <w:tcW w:w="4536"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A090204</w:t>
            </w:r>
          </w:p>
        </w:tc>
        <w:tc>
          <w:tcPr>
            <w:tcW w:w="23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墨水盒</w:t>
            </w:r>
          </w:p>
        </w:tc>
        <w:tc>
          <w:tcPr>
            <w:tcW w:w="4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A090205</w:t>
            </w:r>
          </w:p>
        </w:tc>
        <w:tc>
          <w:tcPr>
            <w:tcW w:w="233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色带</w:t>
            </w:r>
          </w:p>
        </w:tc>
        <w:tc>
          <w:tcPr>
            <w:tcW w:w="453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ascii="楷体" w:hAnsi="楷体" w:eastAsia="楷体" w:cs="楷体"/>
                <w:b/>
                <w:bCs/>
                <w:kern w:val="0"/>
              </w:rPr>
              <w:t>C</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kern w:val="0"/>
              </w:rPr>
            </w:pPr>
            <w:r>
              <w:rPr>
                <w:rFonts w:hint="eastAsia" w:ascii="楷体" w:hAnsi="楷体" w:eastAsia="楷体" w:cs="楷体"/>
                <w:b/>
                <w:bCs/>
                <w:kern w:val="0"/>
              </w:rPr>
              <w:t>服务类</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 w:hAnsi="楷体" w:eastAsia="楷体"/>
                <w:kern w:val="0"/>
              </w:rPr>
            </w:pPr>
            <w:r>
              <w:rPr>
                <w:rFonts w:hint="eastAsia" w:ascii="楷体" w:hAnsi="楷体" w:eastAsia="楷体" w:cs="楷体"/>
                <w:b/>
                <w:bCs/>
                <w:kern w:val="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C08140101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单证印刷服务</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包括各类表单、证件、证书的印刷服务。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C08140102</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票据印刷服务</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包括发票、收据等票据的印刷服务。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C08140199</w:t>
            </w:r>
          </w:p>
        </w:tc>
        <w:tc>
          <w:tcPr>
            <w:tcW w:w="233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其他印刷服务</w:t>
            </w:r>
          </w:p>
        </w:tc>
        <w:tc>
          <w:tcPr>
            <w:tcW w:w="4536"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包括：文件印刷服务；公文用纸印刷服务；资料汇编印刷服务；信封印刷服务；日历、名片、卡片、广告等的印刷服务；其他印刷服务。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C1204</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物业管理服务</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指办公场所或其他公用场所水电供应服务、设备运行、门窗保养维护、保洁、绿化养护等的管理及服务，包括：周转房物业管理服务；办公楼物业管理服务；其他物业管理服务。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r>
              <w:rPr>
                <w:rFonts w:ascii="楷体" w:hAnsi="楷体" w:eastAsia="楷体" w:cs="楷体"/>
                <w:kern w:val="0"/>
              </w:rPr>
              <w:t>C150401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人寿保险服务</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r>
              <w:rPr>
                <w:rFonts w:hint="eastAsia" w:ascii="楷体" w:hAnsi="楷体" w:eastAsia="楷体" w:cs="楷体"/>
                <w:kern w:val="0"/>
              </w:rPr>
              <w:t>包括意外保险服务；健康医疗险服务；其他人寿保险服务。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03" w:lineRule="atLeast"/>
              <w:jc w:val="left"/>
              <w:rPr>
                <w:rFonts w:ascii="楷体" w:hAnsi="楷体" w:eastAsia="楷体" w:cs="楷体"/>
                <w:kern w:val="0"/>
              </w:rPr>
            </w:pPr>
            <w:r>
              <w:rPr>
                <w:rFonts w:ascii="楷体" w:hAnsi="楷体" w:eastAsia="楷体" w:cs="楷体"/>
                <w:kern w:val="0"/>
              </w:rPr>
              <w:t>C15040201</w:t>
            </w: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3" w:lineRule="atLeast"/>
              <w:jc w:val="left"/>
              <w:rPr>
                <w:rFonts w:ascii="楷体" w:hAnsi="楷体" w:eastAsia="楷体"/>
                <w:kern w:val="0"/>
              </w:rPr>
            </w:pPr>
            <w:r>
              <w:rPr>
                <w:rFonts w:hint="eastAsia" w:ascii="楷体" w:hAnsi="楷体" w:eastAsia="楷体" w:cs="楷体"/>
                <w:kern w:val="0"/>
              </w:rPr>
              <w:t>机动车保险服务</w:t>
            </w: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3" w:lineRule="atLeast"/>
              <w:jc w:val="left"/>
              <w:rPr>
                <w:rFonts w:ascii="楷体" w:hAnsi="楷体" w:eastAsia="楷体"/>
                <w:kern w:val="0"/>
              </w:rPr>
            </w:pPr>
            <w:r>
              <w:rPr>
                <w:rFonts w:hint="eastAsia" w:ascii="楷体" w:hAnsi="楷体" w:eastAsia="楷体" w:cs="楷体"/>
                <w:kern w:val="0"/>
              </w:rPr>
              <w:t>包括机动车交通事故责任强制保险服务和机动车辆保险服务等。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jc w:val="center"/>
        </w:trPr>
        <w:tc>
          <w:tcPr>
            <w:tcW w:w="15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cs="楷体"/>
                <w:kern w:val="0"/>
              </w:rPr>
            </w:pPr>
          </w:p>
        </w:tc>
        <w:tc>
          <w:tcPr>
            <w:tcW w:w="23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c>
          <w:tcPr>
            <w:tcW w:w="4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 w:hAnsi="楷体" w:eastAsia="楷体"/>
                <w:kern w:val="0"/>
              </w:rPr>
            </w:pPr>
          </w:p>
        </w:tc>
      </w:tr>
    </w:tbl>
    <w:p>
      <w:pPr>
        <w:ind w:firstLine="643" w:firstLineChars="200"/>
        <w:rPr>
          <w:rFonts w:ascii="仿宋" w:hAnsi="仿宋" w:eastAsia="仿宋"/>
          <w:b/>
          <w:sz w:val="32"/>
          <w:szCs w:val="32"/>
        </w:rPr>
      </w:pPr>
      <w:r>
        <w:rPr>
          <w:rFonts w:hint="eastAsia" w:ascii="仿宋" w:hAnsi="仿宋" w:eastAsia="仿宋"/>
          <w:b/>
          <w:sz w:val="32"/>
          <w:szCs w:val="32"/>
        </w:rPr>
        <w:t>二、采购限额标准（单项采购金额）</w:t>
      </w:r>
    </w:p>
    <w:p>
      <w:pPr>
        <w:ind w:firstLine="640"/>
        <w:rPr>
          <w:rFonts w:ascii="仿宋" w:hAnsi="仿宋" w:eastAsia="仿宋"/>
          <w:sz w:val="32"/>
          <w:szCs w:val="32"/>
        </w:rPr>
      </w:pPr>
      <w:r>
        <w:rPr>
          <w:rFonts w:hint="eastAsia" w:ascii="仿宋" w:hAnsi="仿宋" w:eastAsia="仿宋"/>
          <w:sz w:val="32"/>
          <w:szCs w:val="32"/>
        </w:rPr>
        <w:t>（一）自治区本级。</w:t>
      </w:r>
    </w:p>
    <w:p>
      <w:pPr>
        <w:ind w:firstLine="640"/>
        <w:rPr>
          <w:rFonts w:ascii="仿宋" w:hAnsi="仿宋" w:eastAsia="仿宋"/>
          <w:sz w:val="32"/>
          <w:szCs w:val="32"/>
        </w:rPr>
      </w:pPr>
      <w:r>
        <w:rPr>
          <w:rFonts w:hint="eastAsia" w:ascii="仿宋" w:hAnsi="仿宋" w:eastAsia="仿宋"/>
          <w:sz w:val="32"/>
          <w:szCs w:val="32"/>
        </w:rPr>
        <w:t>货物、服务类：50万元以上（含50万元）。</w:t>
      </w:r>
    </w:p>
    <w:p>
      <w:pPr>
        <w:ind w:firstLine="640"/>
        <w:rPr>
          <w:rFonts w:ascii="仿宋" w:hAnsi="仿宋" w:eastAsia="仿宋"/>
          <w:sz w:val="32"/>
          <w:szCs w:val="32"/>
        </w:rPr>
      </w:pPr>
      <w:r>
        <w:rPr>
          <w:rFonts w:hint="eastAsia" w:ascii="仿宋" w:hAnsi="仿宋" w:eastAsia="仿宋"/>
          <w:sz w:val="32"/>
          <w:szCs w:val="32"/>
        </w:rPr>
        <w:t>修缮、装饰及改扩建：80万元以上（含80万元）。</w:t>
      </w:r>
    </w:p>
    <w:p>
      <w:pPr>
        <w:ind w:firstLine="640"/>
        <w:rPr>
          <w:rFonts w:ascii="仿宋" w:hAnsi="仿宋" w:eastAsia="仿宋"/>
          <w:sz w:val="32"/>
          <w:szCs w:val="32"/>
        </w:rPr>
      </w:pPr>
      <w:r>
        <w:rPr>
          <w:rFonts w:hint="eastAsia" w:ascii="仿宋" w:hAnsi="仿宋" w:eastAsia="仿宋"/>
          <w:sz w:val="32"/>
          <w:szCs w:val="32"/>
        </w:rPr>
        <w:t>（二）地（市）级。</w:t>
      </w:r>
    </w:p>
    <w:p>
      <w:pPr>
        <w:ind w:firstLine="640"/>
        <w:rPr>
          <w:rFonts w:ascii="仿宋" w:hAnsi="仿宋" w:eastAsia="仿宋"/>
          <w:sz w:val="32"/>
          <w:szCs w:val="32"/>
        </w:rPr>
      </w:pPr>
      <w:r>
        <w:rPr>
          <w:rFonts w:hint="eastAsia" w:ascii="仿宋" w:hAnsi="仿宋" w:eastAsia="仿宋"/>
          <w:sz w:val="32"/>
          <w:szCs w:val="32"/>
        </w:rPr>
        <w:t>1.日喀则市：货物类、服务类限额标准为30万元，修缮、装饰及改扩建类限额标准为50万元。</w:t>
      </w:r>
    </w:p>
    <w:p>
      <w:pPr>
        <w:ind w:firstLine="640"/>
        <w:rPr>
          <w:rFonts w:ascii="仿宋" w:hAnsi="仿宋" w:eastAsia="仿宋"/>
          <w:sz w:val="32"/>
          <w:szCs w:val="32"/>
        </w:rPr>
      </w:pPr>
      <w:r>
        <w:rPr>
          <w:rFonts w:hint="eastAsia" w:ascii="仿宋" w:hAnsi="仿宋" w:eastAsia="仿宋"/>
          <w:sz w:val="32"/>
          <w:szCs w:val="32"/>
        </w:rPr>
        <w:t>2.林芝市：货物类限额标准为10万元</w:t>
      </w:r>
      <w:r>
        <w:rPr>
          <w:rFonts w:hint="eastAsia" w:ascii="仿宋" w:hAnsi="仿宋" w:eastAsia="仿宋"/>
          <w:sz w:val="32"/>
          <w:szCs w:val="32"/>
          <w:lang w:val="en-US" w:eastAsia="zh-CN"/>
        </w:rPr>
        <w:t>,</w:t>
      </w:r>
      <w:r>
        <w:rPr>
          <w:rFonts w:hint="eastAsia" w:ascii="仿宋" w:hAnsi="仿宋" w:eastAsia="仿宋"/>
          <w:sz w:val="32"/>
          <w:szCs w:val="32"/>
        </w:rPr>
        <w:t>服务类限额标准为</w:t>
      </w:r>
      <w:r>
        <w:rPr>
          <w:rFonts w:hint="eastAsia" w:ascii="仿宋" w:hAnsi="仿宋" w:eastAsia="仿宋"/>
          <w:sz w:val="32"/>
          <w:szCs w:val="32"/>
          <w:lang w:val="en-US" w:eastAsia="zh-CN"/>
        </w:rPr>
        <w:t>2</w:t>
      </w:r>
      <w:r>
        <w:rPr>
          <w:rFonts w:hint="eastAsia" w:ascii="仿宋" w:hAnsi="仿宋" w:eastAsia="仿宋"/>
          <w:sz w:val="32"/>
          <w:szCs w:val="32"/>
        </w:rPr>
        <w:t>0万元，修缮、装饰及改扩建类限额标准为30万元。</w:t>
      </w:r>
    </w:p>
    <w:p>
      <w:pPr>
        <w:ind w:firstLine="640"/>
        <w:rPr>
          <w:rFonts w:ascii="仿宋" w:hAnsi="仿宋" w:eastAsia="仿宋"/>
          <w:sz w:val="32"/>
          <w:szCs w:val="32"/>
        </w:rPr>
      </w:pPr>
      <w:r>
        <w:rPr>
          <w:rFonts w:hint="eastAsia" w:ascii="仿宋" w:hAnsi="仿宋" w:eastAsia="仿宋"/>
          <w:sz w:val="32"/>
          <w:szCs w:val="32"/>
        </w:rPr>
        <w:t>3.其他地（市）：执行自治区本级政府采购限额标准。</w:t>
      </w:r>
    </w:p>
    <w:p>
      <w:pPr>
        <w:ind w:firstLine="640"/>
        <w:rPr>
          <w:rFonts w:ascii="仿宋" w:hAnsi="仿宋" w:eastAsia="仿宋"/>
          <w:b/>
          <w:sz w:val="32"/>
          <w:szCs w:val="32"/>
        </w:rPr>
      </w:pPr>
      <w:r>
        <w:rPr>
          <w:rFonts w:hint="eastAsia" w:ascii="仿宋" w:hAnsi="仿宋" w:eastAsia="仿宋"/>
          <w:b/>
          <w:sz w:val="32"/>
          <w:szCs w:val="32"/>
        </w:rPr>
        <w:t>三、组织形式</w:t>
      </w:r>
    </w:p>
    <w:p>
      <w:pPr>
        <w:ind w:firstLine="640"/>
        <w:rPr>
          <w:rFonts w:ascii="仿宋" w:hAnsi="仿宋" w:eastAsia="仿宋"/>
          <w:sz w:val="32"/>
          <w:szCs w:val="32"/>
        </w:rPr>
      </w:pPr>
      <w:r>
        <w:rPr>
          <w:rFonts w:hint="eastAsia" w:ascii="仿宋" w:hAnsi="仿宋" w:eastAsia="仿宋"/>
          <w:sz w:val="32"/>
          <w:szCs w:val="32"/>
        </w:rPr>
        <w:t>（一）自治区本级组织形式。</w:t>
      </w:r>
    </w:p>
    <w:p>
      <w:pPr>
        <w:ind w:firstLine="640"/>
        <w:rPr>
          <w:rFonts w:ascii="仿宋" w:hAnsi="仿宋" w:eastAsia="仿宋"/>
          <w:sz w:val="32"/>
          <w:szCs w:val="32"/>
        </w:rPr>
      </w:pPr>
      <w:r>
        <w:rPr>
          <w:rFonts w:hint="eastAsia" w:ascii="仿宋" w:hAnsi="仿宋" w:eastAsia="仿宋"/>
          <w:sz w:val="32"/>
          <w:szCs w:val="32"/>
        </w:rPr>
        <w:t>1.限额之上的，集中采购目录之内的应当实行政府集中采购，由自治区政府采购中心组织实施。限额之上的，集中采购目录之外的，应委托采购代理机构组织实施。</w:t>
      </w:r>
    </w:p>
    <w:p>
      <w:pPr>
        <w:ind w:firstLine="640"/>
        <w:rPr>
          <w:rFonts w:ascii="仿宋" w:hAnsi="仿宋" w:eastAsia="仿宋"/>
          <w:sz w:val="32"/>
          <w:szCs w:val="32"/>
        </w:rPr>
      </w:pPr>
      <w:r>
        <w:rPr>
          <w:rFonts w:hint="eastAsia" w:ascii="仿宋" w:hAnsi="仿宋" w:eastAsia="仿宋"/>
          <w:sz w:val="32"/>
          <w:szCs w:val="32"/>
        </w:rPr>
        <w:t>2.限额之下的，单位可自行实施或委托采购代理机构实施。其中凡我区公布的协议供货商能够提供的货物或服务，应当以协议供货方式采购。</w:t>
      </w:r>
    </w:p>
    <w:p>
      <w:pPr>
        <w:ind w:firstLine="640"/>
        <w:rPr>
          <w:rFonts w:hint="eastAsia" w:ascii="仿宋" w:hAnsi="仿宋" w:eastAsia="仿宋" w:cs="楷体"/>
          <w:sz w:val="32"/>
          <w:szCs w:val="32"/>
        </w:rPr>
      </w:pPr>
      <w:r>
        <w:rPr>
          <w:rFonts w:hint="eastAsia" w:ascii="仿宋" w:hAnsi="仿宋" w:eastAsia="仿宋"/>
          <w:sz w:val="32"/>
          <w:szCs w:val="32"/>
        </w:rPr>
        <w:t>3.</w:t>
      </w:r>
      <w:r>
        <w:rPr>
          <w:rFonts w:hint="eastAsia" w:ascii="仿宋" w:hAnsi="仿宋" w:eastAsia="仿宋" w:cs="楷体"/>
          <w:sz w:val="32"/>
          <w:szCs w:val="32"/>
        </w:rPr>
        <w:t>复合性采购项目，即一个采购项目中含有货物、工程、服务两个以上的采购项目，按照采购资金比重最大的项目确定其属性。</w:t>
      </w:r>
    </w:p>
    <w:p>
      <w:pPr>
        <w:ind w:firstLine="640"/>
        <w:rPr>
          <w:rFonts w:ascii="仿宋" w:hAnsi="仿宋" w:eastAsia="仿宋" w:cs="楷体"/>
          <w:sz w:val="32"/>
          <w:szCs w:val="32"/>
        </w:rPr>
      </w:pPr>
      <w:r>
        <w:rPr>
          <w:rFonts w:hint="eastAsia" w:ascii="仿宋" w:hAnsi="仿宋" w:eastAsia="仿宋" w:cs="楷体"/>
          <w:sz w:val="32"/>
          <w:szCs w:val="32"/>
        </w:rPr>
        <w:t>（二）地（市）级组织形式。</w:t>
      </w:r>
    </w:p>
    <w:p>
      <w:pPr>
        <w:ind w:firstLine="640"/>
        <w:rPr>
          <w:rFonts w:ascii="仿宋" w:hAnsi="仿宋" w:eastAsia="仿宋" w:cs="楷体"/>
          <w:sz w:val="32"/>
          <w:szCs w:val="32"/>
        </w:rPr>
      </w:pPr>
      <w:r>
        <w:rPr>
          <w:rFonts w:hint="eastAsia" w:ascii="仿宋" w:hAnsi="仿宋" w:eastAsia="仿宋" w:cs="楷体"/>
          <w:sz w:val="32"/>
          <w:szCs w:val="32"/>
        </w:rPr>
        <w:t>地（市）级政府采购组织形式由同级财政部门确定执行。</w:t>
      </w:r>
    </w:p>
    <w:p>
      <w:pPr>
        <w:ind w:firstLine="640"/>
        <w:rPr>
          <w:rFonts w:ascii="仿宋" w:hAnsi="仿宋" w:eastAsia="仿宋"/>
          <w:b/>
          <w:sz w:val="32"/>
          <w:szCs w:val="32"/>
        </w:rPr>
      </w:pPr>
      <w:r>
        <w:rPr>
          <w:rFonts w:hint="eastAsia" w:ascii="仿宋" w:hAnsi="仿宋" w:eastAsia="仿宋"/>
          <w:b/>
          <w:sz w:val="32"/>
          <w:szCs w:val="32"/>
        </w:rPr>
        <w:t>四、公开招标限额标准</w:t>
      </w:r>
    </w:p>
    <w:p>
      <w:pPr>
        <w:spacing w:line="580" w:lineRule="exact"/>
        <w:ind w:firstLine="640" w:firstLineChars="200"/>
        <w:rPr>
          <w:rFonts w:ascii="仿宋" w:hAnsi="仿宋" w:eastAsia="仿宋" w:cs="楷体"/>
          <w:sz w:val="32"/>
          <w:szCs w:val="32"/>
        </w:rPr>
      </w:pPr>
      <w:r>
        <w:rPr>
          <w:rFonts w:hint="eastAsia" w:ascii="仿宋" w:hAnsi="仿宋" w:eastAsia="仿宋" w:cs="楷体"/>
          <w:sz w:val="32"/>
          <w:szCs w:val="32"/>
        </w:rPr>
        <w:t>自治区本级和除日喀则市、林芝市、山南市以外的其他地（市），单项或批量采购金额200万元以上货物、服务、工程类项目，应当采取公开招标方式采购（除涉密项目）。</w:t>
      </w:r>
    </w:p>
    <w:p>
      <w:pPr>
        <w:ind w:firstLine="640"/>
        <w:rPr>
          <w:rFonts w:ascii="仿宋" w:hAnsi="仿宋" w:eastAsia="仿宋"/>
          <w:sz w:val="32"/>
          <w:szCs w:val="32"/>
        </w:rPr>
      </w:pPr>
      <w:r>
        <w:rPr>
          <w:rFonts w:hint="eastAsia" w:ascii="仿宋" w:hAnsi="仿宋" w:eastAsia="仿宋" w:cs="楷体"/>
          <w:sz w:val="32"/>
          <w:szCs w:val="32"/>
        </w:rPr>
        <w:t>日喀则市货物、服务为</w:t>
      </w:r>
      <w:r>
        <w:rPr>
          <w:rFonts w:hint="eastAsia" w:ascii="仿宋" w:hAnsi="仿宋" w:eastAsia="仿宋" w:cs="楷体"/>
          <w:sz w:val="32"/>
          <w:szCs w:val="32"/>
          <w:lang w:val="en-US" w:eastAsia="zh-CN"/>
        </w:rPr>
        <w:t>10</w:t>
      </w:r>
      <w:r>
        <w:rPr>
          <w:rFonts w:hint="eastAsia" w:ascii="仿宋" w:hAnsi="仿宋" w:eastAsia="仿宋" w:cs="楷体"/>
          <w:sz w:val="32"/>
          <w:szCs w:val="32"/>
        </w:rPr>
        <w:t>0万元及以上实行公开招标，</w:t>
      </w:r>
      <w:r>
        <w:rPr>
          <w:rFonts w:hint="eastAsia" w:ascii="仿宋" w:hAnsi="仿宋" w:eastAsia="仿宋"/>
          <w:sz w:val="32"/>
          <w:szCs w:val="32"/>
        </w:rPr>
        <w:t>工程类为200万元及以上实行公开招标。</w:t>
      </w:r>
    </w:p>
    <w:p>
      <w:pPr>
        <w:ind w:firstLine="640"/>
        <w:rPr>
          <w:rFonts w:ascii="仿宋" w:hAnsi="仿宋" w:eastAsia="仿宋"/>
          <w:sz w:val="32"/>
          <w:szCs w:val="32"/>
        </w:rPr>
      </w:pPr>
      <w:r>
        <w:rPr>
          <w:rFonts w:hint="eastAsia" w:ascii="仿宋" w:hAnsi="仿宋" w:eastAsia="仿宋"/>
          <w:sz w:val="32"/>
          <w:szCs w:val="32"/>
        </w:rPr>
        <w:t>林芝市货物类30万元及以上实行公开招标，服务类25万元及以上实行公开招标，工程类50万元及以上实行公开招标。</w:t>
      </w:r>
    </w:p>
    <w:p>
      <w:pPr>
        <w:ind w:firstLine="640"/>
        <w:rPr>
          <w:rFonts w:ascii="仿宋" w:hAnsi="仿宋" w:eastAsia="仿宋"/>
          <w:sz w:val="32"/>
          <w:szCs w:val="32"/>
        </w:rPr>
      </w:pPr>
      <w:r>
        <w:rPr>
          <w:rFonts w:hint="eastAsia" w:ascii="仿宋" w:hAnsi="仿宋" w:eastAsia="仿宋"/>
          <w:sz w:val="32"/>
          <w:szCs w:val="32"/>
        </w:rPr>
        <w:t>山南市货物、服务、工程类100万元及以上实行公开招标。</w:t>
      </w:r>
    </w:p>
    <w:p>
      <w:pPr>
        <w:spacing w:line="580" w:lineRule="exact"/>
        <w:ind w:firstLine="640" w:firstLineChars="200"/>
        <w:rPr>
          <w:rFonts w:ascii="黑体" w:hAnsi="黑体" w:eastAsia="黑体" w:cs="楷体"/>
          <w:sz w:val="32"/>
          <w:szCs w:val="32"/>
        </w:rPr>
      </w:pPr>
      <w:r>
        <w:rPr>
          <w:rFonts w:hint="eastAsia" w:ascii="黑体" w:hAnsi="黑体" w:eastAsia="黑体" w:cs="楷体"/>
          <w:sz w:val="32"/>
          <w:szCs w:val="32"/>
        </w:rPr>
        <w:t>五、有关说明及要求</w:t>
      </w:r>
    </w:p>
    <w:p>
      <w:pPr>
        <w:spacing w:line="580" w:lineRule="exact"/>
        <w:rPr>
          <w:rFonts w:ascii="仿宋" w:hAnsi="仿宋" w:eastAsia="仿宋"/>
          <w:sz w:val="32"/>
          <w:szCs w:val="32"/>
        </w:rPr>
      </w:pPr>
      <w:r>
        <w:rPr>
          <w:rFonts w:ascii="仿宋" w:hAnsi="仿宋" w:eastAsia="仿宋" w:cs="楷体"/>
          <w:sz w:val="32"/>
          <w:szCs w:val="32"/>
        </w:rPr>
        <w:t xml:space="preserve">    </w:t>
      </w:r>
      <w:r>
        <w:rPr>
          <w:rFonts w:hint="eastAsia" w:ascii="仿宋" w:hAnsi="仿宋" w:eastAsia="仿宋" w:cs="楷体"/>
          <w:sz w:val="32"/>
          <w:szCs w:val="32"/>
        </w:rPr>
        <w:t>根据《中华人民共和国政府采购法实施条例》第二条规定：财政性资金是指纳入预算管理的资金。以财政性资金作为还款来源的借贷资金，视同财政性资金；既使用财政性资金又使用非财政性资金的，使用财政性资金采购的部分适用政府采购法及本条例，若无法分割，统一适用政府采购法及本条例。</w:t>
      </w:r>
    </w:p>
    <w:p>
      <w:pPr>
        <w:spacing w:line="580" w:lineRule="exact"/>
        <w:ind w:firstLine="640" w:firstLineChars="200"/>
        <w:rPr>
          <w:rFonts w:ascii="仿宋" w:hAnsi="仿宋" w:eastAsia="仿宋"/>
          <w:sz w:val="32"/>
          <w:szCs w:val="32"/>
        </w:rPr>
      </w:pPr>
      <w:r>
        <w:rPr>
          <w:rFonts w:hint="eastAsia" w:ascii="仿宋" w:hAnsi="仿宋" w:eastAsia="仿宋" w:cs="楷体"/>
          <w:sz w:val="32"/>
          <w:szCs w:val="32"/>
        </w:rPr>
        <w:t>（一）凡达到公开招标限额标准的采购项目，应当采用公开招标方式进行采购。因特殊情况，达到公开招标数额的采购项目采取非招标采购方式或需变更已备案的采购方式的，应按规定程序报批。任何单位和部门不得通过化整为零、分解整体项目、增加采购批次以及“先采后报”等方式规避公开招标。</w:t>
      </w:r>
    </w:p>
    <w:p>
      <w:pPr>
        <w:ind w:firstLine="640" w:firstLineChars="200"/>
        <w:jc w:val="left"/>
        <w:rPr>
          <w:rFonts w:ascii="仿宋" w:hAnsi="仿宋" w:eastAsia="仿宋"/>
          <w:sz w:val="32"/>
          <w:szCs w:val="32"/>
        </w:rPr>
      </w:pPr>
      <w:r>
        <w:rPr>
          <w:rFonts w:hint="eastAsia" w:ascii="仿宋" w:hAnsi="仿宋" w:eastAsia="仿宋" w:cs="楷体"/>
          <w:sz w:val="32"/>
          <w:szCs w:val="32"/>
        </w:rPr>
        <w:t>（二）采购单位在编制部门预算和财政部门下达预算时，凡符合《</w:t>
      </w:r>
      <w:r>
        <w:rPr>
          <w:rFonts w:hint="eastAsia" w:ascii="仿宋" w:hAnsi="仿宋" w:eastAsia="仿宋"/>
          <w:sz w:val="32"/>
          <w:szCs w:val="32"/>
        </w:rPr>
        <w:t>西藏自治区2018年政府集中采购目录及采购限额标准</w:t>
      </w:r>
      <w:r>
        <w:rPr>
          <w:rFonts w:hint="eastAsia" w:ascii="仿宋" w:hAnsi="仿宋" w:eastAsia="仿宋" w:cs="楷体"/>
          <w:sz w:val="32"/>
          <w:szCs w:val="32"/>
        </w:rPr>
        <w:t>》的，应编制政府采购预算，并按照相关规定及时申报政府采购计划，政府采购资金均实行国库集中支付；自治区财政厅各业务处应严格审核，实现应采尽采。</w:t>
      </w:r>
    </w:p>
    <w:p>
      <w:pPr>
        <w:spacing w:line="580" w:lineRule="exact"/>
        <w:ind w:firstLine="640" w:firstLineChars="200"/>
        <w:rPr>
          <w:rFonts w:ascii="仿宋" w:hAnsi="仿宋" w:eastAsia="仿宋"/>
          <w:sz w:val="32"/>
          <w:szCs w:val="32"/>
        </w:rPr>
      </w:pPr>
      <w:r>
        <w:rPr>
          <w:rFonts w:hint="eastAsia" w:ascii="仿宋" w:hAnsi="仿宋" w:eastAsia="仿宋" w:cs="楷体"/>
          <w:sz w:val="32"/>
          <w:szCs w:val="32"/>
        </w:rPr>
        <w:t>（三）在政府采购活动中，应当优先实现国务院财政部门制定的政府采购政策功能目标，如节约能源、保护环境、扶持不发达地区和少数民族地区、促进中小企业发展等。财政部在“中国政府采购网”官方网站上已经主动公开的节能清单、环保清单等政府采购政策功能性文件在我区即时产生执行效力，不再办理转发。</w:t>
      </w:r>
    </w:p>
    <w:p>
      <w:pPr>
        <w:ind w:firstLine="640" w:firstLineChars="200"/>
        <w:jc w:val="left"/>
        <w:rPr>
          <w:rFonts w:hint="eastAsia" w:ascii="仿宋" w:hAnsi="仿宋" w:eastAsia="仿宋"/>
          <w:color w:val="FFFFFF"/>
          <w:sz w:val="28"/>
          <w:szCs w:val="28"/>
        </w:rPr>
      </w:pPr>
      <w:r>
        <w:rPr>
          <w:rFonts w:hint="eastAsia" w:ascii="仿宋" w:hAnsi="仿宋" w:eastAsia="仿宋" w:cs="楷体"/>
          <w:sz w:val="32"/>
          <w:szCs w:val="32"/>
        </w:rPr>
        <w:t>（四）《</w:t>
      </w:r>
      <w:r>
        <w:rPr>
          <w:rFonts w:hint="eastAsia" w:ascii="仿宋" w:hAnsi="仿宋" w:eastAsia="仿宋"/>
          <w:sz w:val="32"/>
          <w:szCs w:val="32"/>
        </w:rPr>
        <w:t>西藏自治区2018年政府集中采购目录及采购限额标准</w:t>
      </w:r>
      <w:r>
        <w:rPr>
          <w:rFonts w:hint="eastAsia" w:ascii="仿宋" w:hAnsi="仿宋" w:eastAsia="仿宋" w:cs="楷体"/>
          <w:sz w:val="32"/>
          <w:szCs w:val="32"/>
        </w:rPr>
        <w:t>》由自治区财政厅负责解释。</w:t>
      </w:r>
      <w:r>
        <w:rPr>
          <w:rFonts w:hint="eastAsia" w:ascii="仿宋" w:hAnsi="仿宋" w:eastAsia="仿宋"/>
          <w:color w:val="FFFFFF"/>
          <w:sz w:val="28"/>
          <w:szCs w:val="28"/>
        </w:rPr>
        <w:t>]</w:t>
      </w:r>
    </w:p>
    <w:p/>
    <w:sectPr>
      <w:footerReference r:id="rId4" w:type="default"/>
      <w:footerReference r:id="rId5" w:type="even"/>
      <w:pgSz w:w="11906" w:h="16838"/>
      <w:pgMar w:top="907"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360"/>
      <w:jc w:val="right"/>
      <w:rPr>
        <w:rFonts w:hint="eastAsia" w:ascii="宋体" w:hAnsi="宋体"/>
        <w:sz w:val="28"/>
      </w:rPr>
    </w:pPr>
    <w:r>
      <w:rPr>
        <w:rStyle w:val="4"/>
        <w:rFonts w:hint="eastAsia" w:ascii="宋体" w:hAnsi="宋体"/>
        <w:sz w:val="28"/>
      </w:rPr>
      <w:t>—　</w:t>
    </w:r>
    <w:r>
      <w:rPr>
        <w:rFonts w:ascii="宋体" w:hAnsi="宋体"/>
        <w:sz w:val="28"/>
      </w:rPr>
      <w:fldChar w:fldCharType="begin"/>
    </w:r>
    <w:r>
      <w:rPr>
        <w:rStyle w:val="4"/>
        <w:rFonts w:ascii="宋体" w:hAnsi="宋体"/>
        <w:sz w:val="28"/>
      </w:rPr>
      <w:instrText xml:space="preserve"> PAGE </w:instrText>
    </w:r>
    <w:r>
      <w:rPr>
        <w:rFonts w:ascii="宋体" w:hAnsi="宋体"/>
        <w:sz w:val="28"/>
      </w:rPr>
      <w:fldChar w:fldCharType="separate"/>
    </w:r>
    <w:r>
      <w:rPr>
        <w:rStyle w:val="4"/>
        <w:rFonts w:ascii="宋体" w:hAnsi="宋体"/>
        <w:sz w:val="28"/>
      </w:rPr>
      <w:t>1</w:t>
    </w:r>
    <w:r>
      <w:rPr>
        <w:rFonts w:ascii="宋体" w:hAnsi="宋体"/>
        <w:sz w:val="28"/>
      </w:rPr>
      <w:fldChar w:fldCharType="end"/>
    </w:r>
    <w:r>
      <w:rPr>
        <w:rStyle w:val="4"/>
        <w:rFonts w:hint="eastAsia" w:ascii="宋体" w:hAnsi="宋体"/>
        <w:sz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right"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2017-12-27T04:43:00Z</dcterms:created>
  <dc:creator>你ぃ、ゝ</dc:creator>
  <cp:lastModifiedBy>lenovo</cp:lastModifiedBy>
  <dcterms:modified xsi:type="dcterms:W3CDTF">2018-01-18T04:22:11Z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